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5962" w14:textId="77777777" w:rsidR="00227F05" w:rsidRPr="00227F05" w:rsidRDefault="008A21E4" w:rsidP="008A21E4">
      <w:pPr>
        <w:rPr>
          <w:color w:val="70AD47" w:themeColor="accent6"/>
          <w:sz w:val="32"/>
          <w:szCs w:val="32"/>
        </w:rPr>
      </w:pPr>
      <w:r w:rsidRPr="00227F05">
        <w:rPr>
          <w:color w:val="70AD47" w:themeColor="accent6"/>
          <w:sz w:val="32"/>
          <w:szCs w:val="32"/>
        </w:rPr>
        <w:t>Datenschutzerklärung</w:t>
      </w:r>
    </w:p>
    <w:p w14:paraId="5DB8D992" w14:textId="77777777" w:rsidR="008A21E4" w:rsidRPr="00227F05" w:rsidRDefault="008A21E4" w:rsidP="008A21E4">
      <w:pPr>
        <w:rPr>
          <w:b/>
          <w:bCs/>
        </w:rPr>
      </w:pPr>
      <w:r w:rsidRPr="00227F05">
        <w:rPr>
          <w:b/>
          <w:bCs/>
        </w:rPr>
        <w:t>1. Wer ist für die Datenverarbeitung verantwortlich und an wen kann ich mich wenden?</w:t>
      </w:r>
    </w:p>
    <w:p w14:paraId="177F8F22" w14:textId="56694ACF" w:rsidR="00227F05" w:rsidRDefault="00227F05" w:rsidP="008A21E4">
      <w:r>
        <w:t xml:space="preserve">Heilpraktikerin Brigitta Ziller, </w:t>
      </w:r>
      <w:r w:rsidR="00DC7920">
        <w:t>Gaußstr. 15</w:t>
      </w:r>
      <w:r>
        <w:t>, 21335 Lüneburg</w:t>
      </w:r>
    </w:p>
    <w:p w14:paraId="13A2BDB5" w14:textId="77777777" w:rsidR="008A21E4" w:rsidRPr="00227F05" w:rsidRDefault="008A21E4" w:rsidP="008A21E4">
      <w:pPr>
        <w:rPr>
          <w:b/>
          <w:bCs/>
        </w:rPr>
      </w:pPr>
      <w:r w:rsidRPr="00227F05">
        <w:rPr>
          <w:b/>
          <w:bCs/>
        </w:rPr>
        <w:t>2. Welche Daten werden genutzt?</w:t>
      </w:r>
    </w:p>
    <w:p w14:paraId="65547EA0" w14:textId="77777777" w:rsidR="008A21E4" w:rsidRDefault="00227F05" w:rsidP="00227F05">
      <w:r>
        <w:t>Ich</w:t>
      </w:r>
      <w:r w:rsidR="008A21E4">
        <w:t xml:space="preserve"> erhebe und speicher</w:t>
      </w:r>
      <w:r>
        <w:t>e</w:t>
      </w:r>
      <w:r w:rsidR="008A21E4">
        <w:t xml:space="preserve"> ausschließlich Daten, die für Behandlung und Abrechnung notwendig sind.</w:t>
      </w:r>
      <w:r>
        <w:t xml:space="preserve"> </w:t>
      </w:r>
      <w:r w:rsidR="008A21E4">
        <w:t>Dazu gehören:</w:t>
      </w:r>
    </w:p>
    <w:p w14:paraId="758AB0F7" w14:textId="77777777" w:rsidR="008A21E4" w:rsidRDefault="008A21E4" w:rsidP="00227F05">
      <w:pPr>
        <w:pStyle w:val="Listenabsatz"/>
        <w:numPr>
          <w:ilvl w:val="0"/>
          <w:numId w:val="1"/>
        </w:numPr>
      </w:pPr>
      <w:r>
        <w:t xml:space="preserve">Adressdaten (Name, Adresse / andere Kontaktdaten (Telefon, E-Mail-Adresse), Geburtsdatum / –ort, Geschlecht, </w:t>
      </w:r>
    </w:p>
    <w:p w14:paraId="64B3E2B3" w14:textId="77777777" w:rsidR="008A21E4" w:rsidRDefault="008A21E4" w:rsidP="00227F05">
      <w:pPr>
        <w:pStyle w:val="Listenabsatz"/>
        <w:numPr>
          <w:ilvl w:val="0"/>
          <w:numId w:val="1"/>
        </w:numPr>
      </w:pPr>
      <w:r>
        <w:t>Staatsangehörigkeit)</w:t>
      </w:r>
    </w:p>
    <w:p w14:paraId="640CC750" w14:textId="77777777" w:rsidR="008A21E4" w:rsidRDefault="008A21E4" w:rsidP="00227F05">
      <w:pPr>
        <w:pStyle w:val="Listenabsatz"/>
        <w:numPr>
          <w:ilvl w:val="0"/>
          <w:numId w:val="1"/>
        </w:numPr>
      </w:pPr>
      <w:r>
        <w:t>Bankverbindung</w:t>
      </w:r>
    </w:p>
    <w:p w14:paraId="5947438B" w14:textId="77777777" w:rsidR="008A21E4" w:rsidRDefault="008A21E4" w:rsidP="00227F05">
      <w:pPr>
        <w:pStyle w:val="Listenabsatz"/>
        <w:numPr>
          <w:ilvl w:val="0"/>
          <w:numId w:val="1"/>
        </w:numPr>
      </w:pPr>
      <w:r>
        <w:t xml:space="preserve">Informationen über Ihren Gesundheitszustand, wie z.B. Informationen aus Untersuchungen, Anamnesegesprächen, </w:t>
      </w:r>
    </w:p>
    <w:p w14:paraId="1DF71286" w14:textId="77777777" w:rsidR="008A21E4" w:rsidRDefault="008A21E4" w:rsidP="00227F05">
      <w:pPr>
        <w:pStyle w:val="Listenabsatz"/>
        <w:numPr>
          <w:ilvl w:val="0"/>
          <w:numId w:val="1"/>
        </w:numPr>
      </w:pPr>
      <w:r>
        <w:t>Laborergebnisse</w:t>
      </w:r>
    </w:p>
    <w:p w14:paraId="2A8E6F28" w14:textId="77777777" w:rsidR="008A21E4" w:rsidRPr="00227F05" w:rsidRDefault="008A21E4" w:rsidP="008A21E4">
      <w:pPr>
        <w:rPr>
          <w:b/>
          <w:bCs/>
        </w:rPr>
      </w:pPr>
      <w:r w:rsidRPr="00227F05">
        <w:rPr>
          <w:b/>
          <w:bCs/>
        </w:rPr>
        <w:t>3. Zu welchem Zweck werden die Daten verarbeitet?</w:t>
      </w:r>
    </w:p>
    <w:p w14:paraId="354B0828" w14:textId="77777777" w:rsidR="00227F05" w:rsidRDefault="008A21E4" w:rsidP="00227F05">
      <w:pPr>
        <w:pStyle w:val="Listenabsatz"/>
        <w:numPr>
          <w:ilvl w:val="0"/>
          <w:numId w:val="1"/>
        </w:numPr>
      </w:pPr>
      <w:r>
        <w:t>Therapeutische Behandlung</w:t>
      </w:r>
    </w:p>
    <w:p w14:paraId="1A84A9F8" w14:textId="77777777" w:rsidR="008A21E4" w:rsidRDefault="008A21E4" w:rsidP="00227F05">
      <w:pPr>
        <w:pStyle w:val="Listenabsatz"/>
        <w:numPr>
          <w:ilvl w:val="0"/>
          <w:numId w:val="1"/>
        </w:numPr>
      </w:pPr>
      <w:r>
        <w:t>Rechnungsstellung und ggf. Mahnverfahren</w:t>
      </w:r>
    </w:p>
    <w:p w14:paraId="6E7954D9" w14:textId="77777777" w:rsidR="008A21E4" w:rsidRPr="00227F05" w:rsidRDefault="008A21E4" w:rsidP="008A21E4">
      <w:pPr>
        <w:rPr>
          <w:b/>
          <w:bCs/>
        </w:rPr>
      </w:pPr>
      <w:r w:rsidRPr="00227F05">
        <w:rPr>
          <w:b/>
          <w:bCs/>
        </w:rPr>
        <w:t>4. Wer bekommt Ihre Daten?</w:t>
      </w:r>
    </w:p>
    <w:p w14:paraId="3FB90D28" w14:textId="77777777" w:rsidR="008A21E4" w:rsidRDefault="008A21E4" w:rsidP="008A21E4">
      <w:r>
        <w:t>Wir geben Ihre Daten ausschließlich an die nachfolgend genannten Dritten weiter, es sei denn, wir sind gesetzlich dazu verpflichtet:</w:t>
      </w:r>
    </w:p>
    <w:p w14:paraId="393A88FB" w14:textId="77777777" w:rsidR="008A21E4" w:rsidRDefault="008A21E4" w:rsidP="00227F05">
      <w:pPr>
        <w:pStyle w:val="Listenabsatz"/>
        <w:numPr>
          <w:ilvl w:val="0"/>
          <w:numId w:val="3"/>
        </w:numPr>
      </w:pPr>
      <w:r>
        <w:t>Labore und angeschlossene Partnerlabore, Steuerberater, Inkassounternehmen, Schufa</w:t>
      </w:r>
    </w:p>
    <w:p w14:paraId="15A5C9AC" w14:textId="77777777" w:rsidR="008A21E4" w:rsidRPr="00227F05" w:rsidRDefault="008A21E4" w:rsidP="008A21E4">
      <w:pPr>
        <w:rPr>
          <w:b/>
          <w:bCs/>
        </w:rPr>
      </w:pPr>
      <w:r w:rsidRPr="00227F05">
        <w:rPr>
          <w:b/>
          <w:bCs/>
        </w:rPr>
        <w:t>5. Übermittlung der Daten an ein Drittland</w:t>
      </w:r>
    </w:p>
    <w:p w14:paraId="14367FB6" w14:textId="77777777" w:rsidR="008A21E4" w:rsidRDefault="008A21E4" w:rsidP="008A21E4">
      <w:r>
        <w:t>Wir übermitteln Ihre Daten ohne Ihre weitere Zustimmung nicht ins Ausland.</w:t>
      </w:r>
    </w:p>
    <w:p w14:paraId="09CE33C0" w14:textId="77777777" w:rsidR="008A21E4" w:rsidRPr="00227F05" w:rsidRDefault="008A21E4" w:rsidP="008A21E4">
      <w:pPr>
        <w:rPr>
          <w:b/>
          <w:bCs/>
        </w:rPr>
      </w:pPr>
      <w:r w:rsidRPr="00227F05">
        <w:rPr>
          <w:b/>
          <w:bCs/>
        </w:rPr>
        <w:t>6. Wie lange werden Ihre Daten gespeichert?</w:t>
      </w:r>
    </w:p>
    <w:p w14:paraId="46A3FCEE" w14:textId="77777777" w:rsidR="008A21E4" w:rsidRDefault="008A21E4" w:rsidP="008A21E4">
      <w:r>
        <w:t>Wir speichern Ihre Daten so lange, wie es unsere gesetzlichen Pflichten erfordern. Daten, die sich aus Ihrer Behandlung ergeben, speichern wir im Rahmen des Patientenrechtegesetzes 10 Jahre. Rechnungen halten wir nach geltendem Steuerrecht ebenfalls 10 Jahre vor. Sind die Daten für die Erfüllung vertraglicher oder gesetzlicher Pflichten nicht mehr erforderlich, werden diese regelmäßig gelöscht.</w:t>
      </w:r>
    </w:p>
    <w:p w14:paraId="1C2B086F" w14:textId="77777777" w:rsidR="008A21E4" w:rsidRPr="00227F05" w:rsidRDefault="008A21E4" w:rsidP="008A21E4">
      <w:pPr>
        <w:rPr>
          <w:b/>
          <w:bCs/>
        </w:rPr>
      </w:pPr>
      <w:r w:rsidRPr="00227F05">
        <w:rPr>
          <w:b/>
          <w:bCs/>
        </w:rPr>
        <w:t>7. Welche Datenschutzrechte und Widerrufrechte bestehen für Sie?</w:t>
      </w:r>
    </w:p>
    <w:p w14:paraId="39EF5939" w14:textId="77777777" w:rsidR="008A21E4" w:rsidRDefault="008A21E4" w:rsidP="008A21E4">
      <w:r>
        <w:t>Jede betroffene Person hat das Recht auf Auskunft nach Artikel 15 DSGVO, das Recht auf Berichtigung nach Artikel 16 DSGVO, das Recht auf Löschung nach Artikel 17 DSGVO, das Recht auf Einschränkung der Verarbeitung nach Artikel 18 DSGVO, das Recht auf Widerspruch aus Artikel 21 DSGVO sowie das Recht auf Datenübertragbarkeit aus Artikel 20 DSGVO. Darüber hinaus besteht ein Beschwerderecht bei einer Datenschutzaufsichtsbehörde (Artikel 77 DSGVO i.V.m. §19 BDSG).Eine erteilte Einwilligung in die Verarbeitung personenbezogener Daten können Sie jederzeit uns gegenüber widerrufen. Dies gilt auch für den Widerruf von Einwilligungserklärungen, die vor der Geltung der EU-Datenschutz-Grundverordnung, also vor dem 25. Mai 2018, uns gegenüber erteilt worden sind. Bitte beachten Sie, dass der Widerruf erst für die Zukunft wirkt. Verarbeitungen, die vor dem Widerruf erfolgt sind, sind davon nicht betroffen.</w:t>
      </w:r>
    </w:p>
    <w:p w14:paraId="2E3EC3D0" w14:textId="77777777" w:rsidR="008A21E4" w:rsidRPr="00227F05" w:rsidRDefault="008A21E4" w:rsidP="008A21E4">
      <w:pPr>
        <w:rPr>
          <w:b/>
          <w:bCs/>
        </w:rPr>
      </w:pPr>
      <w:r w:rsidRPr="00227F05">
        <w:rPr>
          <w:b/>
          <w:bCs/>
        </w:rPr>
        <w:lastRenderedPageBreak/>
        <w:t>8. Bereitstellung Ihrer Daten</w:t>
      </w:r>
    </w:p>
    <w:p w14:paraId="38EACFD0" w14:textId="77777777" w:rsidR="008A21E4" w:rsidRDefault="008A21E4" w:rsidP="008A21E4">
      <w:r>
        <w:t>Mit Ihrer Unterschrift verpflichten Sie sich, die zu Ihrer Behandlung und Abrechnung benötigten Daten bereitzustellen. Ohne diese Daten werden wir in der Regel den Abschluss des Vertrages / der Behandlung oder die Ausführung des Auftrages / der Behandlung ablehnen müssen oder einen bestehenden Vertrag nicht mehr durchführen können und ggf. beenden müssen.</w:t>
      </w:r>
    </w:p>
    <w:p w14:paraId="233342D2" w14:textId="77777777" w:rsidR="008A21E4" w:rsidRPr="00227F05" w:rsidRDefault="008A21E4" w:rsidP="008A21E4">
      <w:pPr>
        <w:rPr>
          <w:b/>
          <w:bCs/>
        </w:rPr>
      </w:pPr>
      <w:r w:rsidRPr="00227F05">
        <w:rPr>
          <w:b/>
          <w:bCs/>
        </w:rPr>
        <w:t>9. Automatisierte Entscheidungsfindung und Profiling</w:t>
      </w:r>
    </w:p>
    <w:p w14:paraId="0097271E" w14:textId="77777777" w:rsidR="00625442" w:rsidRDefault="008A21E4" w:rsidP="008A21E4">
      <w:r>
        <w:t>Im Rahmen der Beurteilung Ihrer Kreditwürdigkeit nutzen wir das Scoring. Dabei wird die Wahrscheinlichkeit berechnet, mit der</w:t>
      </w:r>
      <w:r w:rsidR="00227F05">
        <w:t xml:space="preserve"> </w:t>
      </w:r>
      <w:r>
        <w:t>ein Kunde seinen Zahlungsverpflichtungen vertragsgemäß nachkommen wird. In die Berechnung können beispielsweise Einkommensverhältnisse, Ausgaben, bestehende Verbindlichkeiten, Beruf, Beschäftigungsdauer, Erfahrungen aus der bisherigen Geschäftsbeziehung, vertragsgemäße Rückzahlung früherer Kredite sowie Informationen von Kreditauskunfteien einfließen. Das Scoring beruht auf einem mathematisch-statistisch anerkannten und bewährten Verfahren. Die errechneten Scorewerte unterstützen uns bei der Entscheidungsfindung und gehen in das laufende Risikomanagement mit ein. Nur wenn Profiling genannt wird.</w:t>
      </w:r>
    </w:p>
    <w:p w14:paraId="41C45F8C" w14:textId="77777777" w:rsidR="00227F05" w:rsidRDefault="00227F05" w:rsidP="008A21E4"/>
    <w:p w14:paraId="259259CD" w14:textId="77777777" w:rsidR="00227F05" w:rsidRDefault="00227F05" w:rsidP="008A21E4"/>
    <w:sectPr w:rsidR="00227F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411EF"/>
    <w:multiLevelType w:val="hybridMultilevel"/>
    <w:tmpl w:val="80407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A06CE5"/>
    <w:multiLevelType w:val="hybridMultilevel"/>
    <w:tmpl w:val="A68A7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B7474F"/>
    <w:multiLevelType w:val="hybridMultilevel"/>
    <w:tmpl w:val="A7784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E4"/>
    <w:rsid w:val="00227F05"/>
    <w:rsid w:val="00625442"/>
    <w:rsid w:val="008A21E4"/>
    <w:rsid w:val="00DC7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F091"/>
  <w15:chartTrackingRefBased/>
  <w15:docId w15:val="{44B793AE-8940-45F9-9DA2-278362AD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3145</Characters>
  <Application>Microsoft Office Word</Application>
  <DocSecurity>0</DocSecurity>
  <Lines>26</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Ziller</dc:creator>
  <cp:keywords/>
  <dc:description/>
  <cp:lastModifiedBy>Brigitta Ziller</cp:lastModifiedBy>
  <cp:revision>3</cp:revision>
  <dcterms:created xsi:type="dcterms:W3CDTF">2020-01-14T12:12:00Z</dcterms:created>
  <dcterms:modified xsi:type="dcterms:W3CDTF">2021-12-03T09:47:00Z</dcterms:modified>
</cp:coreProperties>
</file>